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2"/>
          <w:szCs w:val="22"/>
        </w:rPr>
      </w:pPr>
      <w:r w:rsidDel="00000000" w:rsidR="00000000" w:rsidRPr="00000000">
        <w:rPr>
          <w:b w:val="1"/>
          <w:sz w:val="22"/>
          <w:szCs w:val="22"/>
          <w:rtl w:val="0"/>
        </w:rPr>
        <w:t xml:space="preserve">TTLP Meeting, </w:t>
      </w:r>
      <w:r w:rsidDel="00000000" w:rsidR="00000000" w:rsidRPr="00000000">
        <w:rPr>
          <w:sz w:val="22"/>
          <w:szCs w:val="22"/>
          <w:rtl w:val="0"/>
        </w:rPr>
        <w:t xml:space="preserve">21 April 2021</w:t>
      </w:r>
    </w:p>
    <w:p w:rsidR="00000000" w:rsidDel="00000000" w:rsidP="00000000" w:rsidRDefault="00000000" w:rsidRPr="00000000" w14:paraId="00000002">
      <w:pPr>
        <w:pageBreakBefore w:val="0"/>
        <w:jc w:val="both"/>
        <w:rPr>
          <w:b w:val="1"/>
          <w:sz w:val="22"/>
          <w:szCs w:val="22"/>
        </w:rPr>
      </w:pPr>
      <w:r w:rsidDel="00000000" w:rsidR="00000000" w:rsidRPr="00000000">
        <w:rPr>
          <w:rtl w:val="0"/>
        </w:rPr>
      </w:r>
    </w:p>
    <w:p w:rsidR="00000000" w:rsidDel="00000000" w:rsidP="00000000" w:rsidRDefault="00000000" w:rsidRPr="00000000" w14:paraId="00000003">
      <w:pPr>
        <w:pageBreakBefore w:val="0"/>
        <w:jc w:val="both"/>
        <w:rPr>
          <w:sz w:val="22"/>
          <w:szCs w:val="22"/>
        </w:rPr>
      </w:pPr>
      <w:r w:rsidDel="00000000" w:rsidR="00000000" w:rsidRPr="00000000">
        <w:rPr>
          <w:b w:val="1"/>
          <w:sz w:val="22"/>
          <w:szCs w:val="22"/>
          <w:rtl w:val="0"/>
        </w:rPr>
        <w:t xml:space="preserve">Participants</w:t>
      </w:r>
      <w:r w:rsidDel="00000000" w:rsidR="00000000" w:rsidRPr="00000000">
        <w:rPr>
          <w:sz w:val="22"/>
          <w:szCs w:val="22"/>
          <w:rtl w:val="0"/>
        </w:rPr>
        <w:t xml:space="preserve">; Almadhoum Said (OHCHR); Celine Maret (GPC); Nelson Tivane (NRC); Andres Rodriguez (JIPS); Benadetta Gualandi (Oxfam); Claro de Haro (Sanremo IHL Institute); Fanny Dufvenmark (IOM); Fabrizio Locuratolo (IDLO); Fernando de Medina-Rosales (NRC); Natalia Ferreira de Castro (OHCHR-mandate of the SR-IDPs); Hugo Reichenberger (PC coordinatore Mozambique); Isaiah Toroitich (WLF); Jim Robinson (NRC); Kathrine Starup (DRC); Kim Mancini (mandate of the SR-IDPs); Mark Cassayre (IDLO); Martina Caterina (UNHCR); Reshma Mathews (IOM); Meron Yared (UNHCR); Monice Tse Candido (UN-OCHA); Nancy Polutan-Teulieres (GPC); Nina Birkeland (NRC); Sanjula Weerasinghe; Sarah Koeltzow (PDD); Silvia Dodero (IDLO); Valentina Rossi (UNHCR); Valerie Svobodova (UNHCR); Yasmine Elbehiery (GPC).</w:t>
      </w:r>
    </w:p>
    <w:p w:rsidR="00000000" w:rsidDel="00000000" w:rsidP="00000000" w:rsidRDefault="00000000" w:rsidRPr="00000000" w14:paraId="00000004">
      <w:pPr>
        <w:pageBreakBefore w:val="0"/>
        <w:jc w:val="both"/>
        <w:rPr>
          <w:sz w:val="22"/>
          <w:szCs w:val="22"/>
        </w:rPr>
      </w:pPr>
      <w:r w:rsidDel="00000000" w:rsidR="00000000" w:rsidRPr="00000000">
        <w:rPr>
          <w:rtl w:val="0"/>
        </w:rPr>
      </w:r>
    </w:p>
    <w:p w:rsidR="00000000" w:rsidDel="00000000" w:rsidP="00000000" w:rsidRDefault="00000000" w:rsidRPr="00000000" w14:paraId="00000005">
      <w:pPr>
        <w:pageBreakBefore w:val="0"/>
        <w:jc w:val="both"/>
        <w:rPr>
          <w:sz w:val="22"/>
          <w:szCs w:val="22"/>
        </w:rPr>
      </w:pPr>
      <w:r w:rsidDel="00000000" w:rsidR="00000000" w:rsidRPr="00000000">
        <w:rPr>
          <w:b w:val="1"/>
          <w:sz w:val="22"/>
          <w:szCs w:val="22"/>
          <w:rtl w:val="0"/>
        </w:rPr>
        <w:t xml:space="preserve">Presentations</w:t>
      </w:r>
      <w:r w:rsidDel="00000000" w:rsidR="00000000" w:rsidRPr="00000000">
        <w:rPr>
          <w:sz w:val="22"/>
          <w:szCs w:val="22"/>
          <w:rtl w:val="0"/>
        </w:rPr>
        <w:t xml:space="preserve">: Nina Birkeland, Nelson Tivane, Valentina Rossi, Hugo Reichenberger (See PPT and documents in meeting folder)</w:t>
      </w:r>
    </w:p>
    <w:p w:rsidR="00000000" w:rsidDel="00000000" w:rsidP="00000000" w:rsidRDefault="00000000" w:rsidRPr="00000000" w14:paraId="00000006">
      <w:pPr>
        <w:pageBreakBefore w:val="0"/>
        <w:jc w:val="both"/>
        <w:rPr>
          <w:sz w:val="22"/>
          <w:szCs w:val="22"/>
        </w:rPr>
      </w:pPr>
      <w:r w:rsidDel="00000000" w:rsidR="00000000" w:rsidRPr="00000000">
        <w:rPr>
          <w:rtl w:val="0"/>
        </w:rPr>
      </w:r>
    </w:p>
    <w:p w:rsidR="00000000" w:rsidDel="00000000" w:rsidP="00000000" w:rsidRDefault="00000000" w:rsidRPr="00000000" w14:paraId="00000007">
      <w:pPr>
        <w:pageBreakBefore w:val="0"/>
        <w:jc w:val="both"/>
        <w:rPr>
          <w:sz w:val="22"/>
          <w:szCs w:val="22"/>
        </w:rPr>
      </w:pPr>
      <w:r w:rsidDel="00000000" w:rsidR="00000000" w:rsidRPr="00000000">
        <w:rPr>
          <w:b w:val="1"/>
          <w:sz w:val="22"/>
          <w:szCs w:val="22"/>
          <w:u w:val="single"/>
          <w:rtl w:val="0"/>
        </w:rPr>
        <w:t xml:space="preserve">Q&amp;A</w:t>
      </w:r>
      <w:r w:rsidDel="00000000" w:rsidR="00000000" w:rsidRPr="00000000">
        <w:rPr>
          <w:rtl w:val="0"/>
        </w:rPr>
      </w:r>
    </w:p>
    <w:p w:rsidR="00000000" w:rsidDel="00000000" w:rsidP="00000000" w:rsidRDefault="00000000" w:rsidRPr="00000000" w14:paraId="00000008">
      <w:pPr>
        <w:pageBreakBefore w:val="0"/>
        <w:jc w:val="both"/>
        <w:rPr>
          <w:i w:val="1"/>
          <w:sz w:val="22"/>
          <w:szCs w:val="22"/>
        </w:rPr>
      </w:pPr>
      <w:r w:rsidDel="00000000" w:rsidR="00000000" w:rsidRPr="00000000">
        <w:rPr>
          <w:i w:val="1"/>
          <w:sz w:val="22"/>
          <w:szCs w:val="22"/>
          <w:rtl w:val="0"/>
        </w:rPr>
        <w:t xml:space="preserve">To what extent did you manage to get engagement by national and local stakeholders?</w:t>
      </w:r>
    </w:p>
    <w:p w:rsidR="00000000" w:rsidDel="00000000" w:rsidP="00000000" w:rsidRDefault="00000000" w:rsidRPr="00000000" w14:paraId="00000009">
      <w:pPr>
        <w:pageBreakBefore w:val="0"/>
        <w:jc w:val="both"/>
        <w:rPr>
          <w:sz w:val="22"/>
          <w:szCs w:val="22"/>
        </w:rPr>
      </w:pPr>
      <w:r w:rsidDel="00000000" w:rsidR="00000000" w:rsidRPr="00000000">
        <w:rPr>
          <w:sz w:val="22"/>
          <w:szCs w:val="22"/>
          <w:u w:val="single"/>
          <w:rtl w:val="0"/>
        </w:rPr>
        <w:t xml:space="preserve">Nelson</w:t>
      </w:r>
      <w:r w:rsidDel="00000000" w:rsidR="00000000" w:rsidRPr="00000000">
        <w:rPr>
          <w:sz w:val="22"/>
          <w:szCs w:val="22"/>
          <w:rtl w:val="0"/>
        </w:rPr>
        <w:t xml:space="preserve">: First we engaged with international agencies through approval and recommendation from the government. We went to IOM first. We were recommended by the government to make sure that process creates ownership and that the local NGOs are included. Local NGOs were consulted to see how they can provide inputs and be a part of the process. As for now, they are providing inputs on how we can work together to make sure that other NGOs are part of it as well, and with regard to developing durable solutions. We expressed the need to have different local organizations to inform our technical leading teams through their geographical outreach. The goal is to use the support from the local NGOs to create an enabling environment for the next phase.</w:t>
      </w:r>
    </w:p>
    <w:p w:rsidR="00000000" w:rsidDel="00000000" w:rsidP="00000000" w:rsidRDefault="00000000" w:rsidRPr="00000000" w14:paraId="0000000A">
      <w:pPr>
        <w:pageBreakBefore w:val="0"/>
        <w:jc w:val="both"/>
        <w:rPr>
          <w:sz w:val="22"/>
          <w:szCs w:val="22"/>
        </w:rPr>
      </w:pPr>
      <w:r w:rsidDel="00000000" w:rsidR="00000000" w:rsidRPr="00000000">
        <w:rPr>
          <w:sz w:val="22"/>
          <w:szCs w:val="22"/>
          <w:u w:val="single"/>
          <w:rtl w:val="0"/>
        </w:rPr>
        <w:t xml:space="preserve">Valentina</w:t>
      </w:r>
      <w:r w:rsidDel="00000000" w:rsidR="00000000" w:rsidRPr="00000000">
        <w:rPr>
          <w:sz w:val="22"/>
          <w:szCs w:val="22"/>
          <w:rtl w:val="0"/>
        </w:rPr>
        <w:t xml:space="preserve">: The participation in the reference group supporting the Kampala Convention domestication is open, therefore all stakeholders can contribute to the first phase of the process through that. Once the legal review is finalised, we will engage with IDPs and local NGOs through a number of consultations that we are planning.</w:t>
      </w:r>
    </w:p>
    <w:p w:rsidR="00000000" w:rsidDel="00000000" w:rsidP="00000000" w:rsidRDefault="00000000" w:rsidRPr="00000000" w14:paraId="0000000B">
      <w:pPr>
        <w:pageBreakBefore w:val="0"/>
        <w:jc w:val="both"/>
        <w:rPr>
          <w:sz w:val="22"/>
          <w:szCs w:val="22"/>
        </w:rPr>
      </w:pPr>
      <w:r w:rsidDel="00000000" w:rsidR="00000000" w:rsidRPr="00000000">
        <w:rPr>
          <w:rtl w:val="0"/>
        </w:rPr>
      </w:r>
    </w:p>
    <w:p w:rsidR="00000000" w:rsidDel="00000000" w:rsidP="00000000" w:rsidRDefault="00000000" w:rsidRPr="00000000" w14:paraId="0000000C">
      <w:pPr>
        <w:pageBreakBefore w:val="0"/>
        <w:jc w:val="both"/>
        <w:rPr>
          <w:rFonts w:ascii="Cambria" w:cs="Cambria" w:eastAsia="Cambria" w:hAnsi="Cambria"/>
          <w:i w:val="1"/>
          <w:sz w:val="22"/>
          <w:szCs w:val="22"/>
        </w:rPr>
      </w:pPr>
      <w:r w:rsidDel="00000000" w:rsidR="00000000" w:rsidRPr="00000000">
        <w:rPr>
          <w:i w:val="1"/>
          <w:sz w:val="22"/>
          <w:szCs w:val="22"/>
          <w:rtl w:val="0"/>
        </w:rPr>
        <w:t xml:space="preserve">Please tell us more about coherence with other relevant instruments (e.g Afr</w:t>
      </w:r>
      <w:r w:rsidDel="00000000" w:rsidR="00000000" w:rsidRPr="00000000">
        <w:rPr>
          <w:rFonts w:ascii="Cambria" w:cs="Cambria" w:eastAsia="Cambria" w:hAnsi="Cambria"/>
          <w:i w:val="1"/>
          <w:sz w:val="22"/>
          <w:szCs w:val="22"/>
          <w:rtl w:val="0"/>
        </w:rPr>
        <w:t xml:space="preserve">ican  Charter on the Rights and Welfare of the Child)</w:t>
      </w:r>
    </w:p>
    <w:p w:rsidR="00000000" w:rsidDel="00000000" w:rsidP="00000000" w:rsidRDefault="00000000" w:rsidRPr="00000000" w14:paraId="0000000D">
      <w:pPr>
        <w:pageBreakBefore w:val="0"/>
        <w:jc w:val="both"/>
        <w:rPr>
          <w:sz w:val="22"/>
          <w:szCs w:val="22"/>
        </w:rPr>
      </w:pPr>
      <w:r w:rsidDel="00000000" w:rsidR="00000000" w:rsidRPr="00000000">
        <w:rPr>
          <w:sz w:val="22"/>
          <w:szCs w:val="22"/>
          <w:u w:val="single"/>
          <w:rtl w:val="0"/>
        </w:rPr>
        <w:t xml:space="preserve">Nelson</w:t>
      </w:r>
      <w:r w:rsidDel="00000000" w:rsidR="00000000" w:rsidRPr="00000000">
        <w:rPr>
          <w:sz w:val="22"/>
          <w:szCs w:val="22"/>
          <w:rtl w:val="0"/>
        </w:rPr>
        <w:t xml:space="preserve">: We are bringing together all documents (international, regional, national) to emphasize how we can better combine the guidelines in order to make sure that all the preparedness phases are completed. We don’t want to exclude anything as combining it all will help give an important overall understanding. As a group, we want to ensure that we’re reflecting both realities. </w:t>
      </w:r>
    </w:p>
    <w:p w:rsidR="00000000" w:rsidDel="00000000" w:rsidP="00000000" w:rsidRDefault="00000000" w:rsidRPr="00000000" w14:paraId="0000000E">
      <w:pPr>
        <w:pageBreakBefore w:val="0"/>
        <w:jc w:val="both"/>
        <w:rPr>
          <w:sz w:val="22"/>
          <w:szCs w:val="22"/>
        </w:rPr>
      </w:pPr>
      <w:r w:rsidDel="00000000" w:rsidR="00000000" w:rsidRPr="00000000">
        <w:rPr>
          <w:sz w:val="22"/>
          <w:szCs w:val="22"/>
          <w:u w:val="single"/>
          <w:rtl w:val="0"/>
        </w:rPr>
        <w:t xml:space="preserve">Valentina</w:t>
      </w:r>
      <w:r w:rsidDel="00000000" w:rsidR="00000000" w:rsidRPr="00000000">
        <w:rPr>
          <w:sz w:val="22"/>
          <w:szCs w:val="22"/>
          <w:rtl w:val="0"/>
        </w:rPr>
        <w:t xml:space="preserve">: For the legal mapping, we’re analysing if and how national laws and policies align with standards at the international and regional level as well. We’re considering more than just IDP-specific standards; we are referring to all relevant instruments at the international and regional level.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sz w:val="22"/>
          <w:szCs w:val="22"/>
        </w:rPr>
      </w:pPr>
      <w:r w:rsidDel="00000000" w:rsidR="00000000" w:rsidRPr="00000000">
        <w:rPr>
          <w:b w:val="1"/>
          <w:sz w:val="22"/>
          <w:szCs w:val="22"/>
          <w:u w:val="single"/>
          <w:rtl w:val="0"/>
        </w:rPr>
        <w:t xml:space="preserve">Work plan discussion</w:t>
      </w:r>
      <w:r w:rsidDel="00000000" w:rsidR="00000000" w:rsidRPr="00000000">
        <w:rPr>
          <w:rtl w:val="0"/>
        </w:rPr>
      </w:r>
    </w:p>
    <w:p w:rsidR="00000000" w:rsidDel="00000000" w:rsidP="00000000" w:rsidRDefault="00000000" w:rsidRPr="00000000" w14:paraId="00000011">
      <w:pPr>
        <w:pageBreakBefore w:val="0"/>
        <w:rPr>
          <w:color w:val="ff0000"/>
          <w:sz w:val="22"/>
          <w:szCs w:val="22"/>
        </w:rPr>
      </w:pPr>
      <w:r w:rsidDel="00000000" w:rsidR="00000000" w:rsidRPr="00000000">
        <w:rPr>
          <w:rtl w:val="0"/>
        </w:rPr>
      </w:r>
    </w:p>
    <w:p w:rsidR="00000000" w:rsidDel="00000000" w:rsidP="00000000" w:rsidRDefault="00000000" w:rsidRPr="00000000" w14:paraId="00000012">
      <w:pPr>
        <w:pageBreakBefore w:val="0"/>
        <w:rPr>
          <w:color w:val="ff0000"/>
          <w:sz w:val="22"/>
          <w:szCs w:val="22"/>
        </w:rPr>
      </w:pPr>
      <w:r w:rsidDel="00000000" w:rsidR="00000000" w:rsidRPr="00000000">
        <w:rPr>
          <w:b w:val="1"/>
          <w:color w:val="ff0000"/>
          <w:sz w:val="22"/>
          <w:szCs w:val="22"/>
          <w:rtl w:val="0"/>
        </w:rPr>
        <w:t xml:space="preserve">Action Point</w:t>
      </w:r>
      <w:r w:rsidDel="00000000" w:rsidR="00000000" w:rsidRPr="00000000">
        <w:rPr>
          <w:color w:val="ff0000"/>
          <w:sz w:val="22"/>
          <w:szCs w:val="22"/>
          <w:rtl w:val="0"/>
        </w:rPr>
        <w:t xml:space="preserve">: TTLP members to look at workplan and suggest where they would like to take a more active role in leading or contributing to some of its activities. Some priorities activities for which we need leads/contributors are: </w:t>
      </w:r>
    </w:p>
    <w:p w:rsidR="00000000" w:rsidDel="00000000" w:rsidP="00000000" w:rsidRDefault="00000000" w:rsidRPr="00000000" w14:paraId="00000013">
      <w:pPr>
        <w:pageBreakBefore w:val="0"/>
        <w:numPr>
          <w:ilvl w:val="0"/>
          <w:numId w:val="1"/>
        </w:numPr>
        <w:ind w:left="720" w:hanging="360"/>
        <w:rPr>
          <w:color w:val="ff0000"/>
          <w:sz w:val="22"/>
          <w:szCs w:val="22"/>
          <w:u w:val="none"/>
        </w:rPr>
      </w:pPr>
      <w:r w:rsidDel="00000000" w:rsidR="00000000" w:rsidRPr="00000000">
        <w:rPr>
          <w:color w:val="ff0000"/>
          <w:sz w:val="22"/>
          <w:szCs w:val="22"/>
          <w:rtl w:val="0"/>
        </w:rPr>
        <w:t xml:space="preserve">Development of a survey for protection cluster (and AORs) coordinators and co-coordinators on law &amp; policy engagement and support needed;</w:t>
      </w:r>
    </w:p>
    <w:p w:rsidR="00000000" w:rsidDel="00000000" w:rsidP="00000000" w:rsidRDefault="00000000" w:rsidRPr="00000000" w14:paraId="00000014">
      <w:pPr>
        <w:pageBreakBefore w:val="0"/>
        <w:numPr>
          <w:ilvl w:val="0"/>
          <w:numId w:val="1"/>
        </w:numPr>
        <w:ind w:left="720" w:hanging="360"/>
        <w:rPr>
          <w:color w:val="ff0000"/>
          <w:sz w:val="22"/>
          <w:szCs w:val="22"/>
          <w:u w:val="none"/>
        </w:rPr>
      </w:pPr>
      <w:r w:rsidDel="00000000" w:rsidR="00000000" w:rsidRPr="00000000">
        <w:rPr>
          <w:color w:val="ff0000"/>
          <w:sz w:val="22"/>
          <w:szCs w:val="22"/>
          <w:rtl w:val="0"/>
        </w:rPr>
        <w:t xml:space="preserve">Development of the concept note for the legal aid mapping;</w:t>
      </w:r>
    </w:p>
    <w:p w:rsidR="00000000" w:rsidDel="00000000" w:rsidP="00000000" w:rsidRDefault="00000000" w:rsidRPr="00000000" w14:paraId="00000015">
      <w:pPr>
        <w:pageBreakBefore w:val="0"/>
        <w:numPr>
          <w:ilvl w:val="0"/>
          <w:numId w:val="1"/>
        </w:numPr>
        <w:ind w:left="720" w:hanging="360"/>
        <w:rPr>
          <w:color w:val="ff0000"/>
          <w:sz w:val="22"/>
          <w:szCs w:val="22"/>
        </w:rPr>
      </w:pPr>
      <w:r w:rsidDel="00000000" w:rsidR="00000000" w:rsidRPr="00000000">
        <w:rPr>
          <w:color w:val="ff0000"/>
          <w:sz w:val="22"/>
          <w:szCs w:val="22"/>
          <w:rtl w:val="0"/>
        </w:rPr>
        <w:t xml:space="preserve">Organisation of </w:t>
      </w:r>
      <w:r w:rsidDel="00000000" w:rsidR="00000000" w:rsidRPr="00000000">
        <w:rPr>
          <w:color w:val="ff0000"/>
          <w:sz w:val="22"/>
          <w:szCs w:val="22"/>
          <w:rtl w:val="0"/>
        </w:rPr>
        <w:t xml:space="preserve">Virtual Workshop Series: “Developing a Research and Policy Agenda for Addressing Displacement and Migration in the Context of Disasters and Climate Change in Africa” </w:t>
      </w:r>
      <w:r w:rsidDel="00000000" w:rsidR="00000000" w:rsidRPr="00000000">
        <w:rPr>
          <w:rtl w:val="0"/>
        </w:rPr>
      </w:r>
    </w:p>
    <w:p w:rsidR="00000000" w:rsidDel="00000000" w:rsidP="00000000" w:rsidRDefault="00000000" w:rsidRPr="00000000" w14:paraId="00000016">
      <w:pPr>
        <w:pageBreakBefore w:val="0"/>
        <w:ind w:left="0" w:firstLine="0"/>
        <w:rPr>
          <w:color w:val="ff0000"/>
          <w:sz w:val="22"/>
          <w:szCs w:val="22"/>
        </w:rPr>
      </w:pPr>
      <w:r w:rsidDel="00000000" w:rsidR="00000000" w:rsidRPr="00000000">
        <w:rPr>
          <w:rtl w:val="0"/>
        </w:rPr>
      </w:r>
    </w:p>
    <w:p w:rsidR="00000000" w:rsidDel="00000000" w:rsidP="00000000" w:rsidRDefault="00000000" w:rsidRPr="00000000" w14:paraId="00000017">
      <w:pPr>
        <w:pageBreakBefore w:val="0"/>
        <w:ind w:left="0" w:firstLine="0"/>
        <w:rPr>
          <w:color w:val="ff0000"/>
          <w:sz w:val="22"/>
          <w:szCs w:val="22"/>
        </w:rPr>
      </w:pPr>
      <w:r w:rsidDel="00000000" w:rsidR="00000000" w:rsidRPr="00000000">
        <w:rPr>
          <w:color w:val="ff0000"/>
          <w:sz w:val="22"/>
          <w:szCs w:val="22"/>
          <w:rtl w:val="0"/>
        </w:rPr>
        <w:t xml:space="preserve">Please reach out to Martina to propose ideas for TTLP activities, such as presentations during meetings of respective work at global/regional level, presentations by field colleagues, ideas for specific webinars or peer exchanges with colleagues in relevant areas of TTLP work, thematic engagement including with AORs or other Task Teams as relevant, etc.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